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A4DB0" w14:textId="77777777" w:rsidR="00CA15EC" w:rsidRDefault="00CA15EC" w:rsidP="00CA15EC">
      <w:pPr>
        <w:widowControl w:val="0"/>
        <w:autoSpaceDE w:val="0"/>
        <w:autoSpaceDN w:val="0"/>
        <w:adjustRightInd w:val="0"/>
        <w:rPr>
          <w:rFonts w:ascii="Times New Roman" w:hAnsi="Times New Roman" w:cs="Times New Roman"/>
          <w:sz w:val="32"/>
          <w:szCs w:val="32"/>
        </w:rPr>
      </w:pPr>
      <w:r>
        <w:rPr>
          <w:rFonts w:ascii="Arial" w:hAnsi="Arial" w:cs="Arial"/>
          <w:sz w:val="30"/>
          <w:szCs w:val="30"/>
        </w:rPr>
        <w:t>1.</w:t>
      </w:r>
      <w:r>
        <w:rPr>
          <w:rFonts w:ascii="Times New Roman" w:hAnsi="Times New Roman" w:cs="Times New Roman"/>
          <w:sz w:val="18"/>
          <w:szCs w:val="18"/>
        </w:rPr>
        <w:t xml:space="preserve">    </w:t>
      </w:r>
      <w:r>
        <w:rPr>
          <w:rFonts w:ascii="Arial" w:hAnsi="Arial" w:cs="Arial"/>
          <w:sz w:val="30"/>
          <w:szCs w:val="30"/>
          <w:u w:val="single"/>
        </w:rPr>
        <w:t>QUESITO</w:t>
      </w:r>
      <w:r>
        <w:rPr>
          <w:rFonts w:ascii="Arial" w:hAnsi="Arial" w:cs="Arial"/>
          <w:sz w:val="30"/>
          <w:szCs w:val="30"/>
        </w:rPr>
        <w:t>: Possono intendersi come servizi assimilabili anche incarichi di pianificazione della mobilità e del traffico (come i Piani Regionali dei Trasporti, i Piani Urbani della Mobilità Sostenibile, i Piani Urbani del Traffico, i Piani del Trasporto Pubblico, le analisi Costi-Benefici in tema di mobilità, ecc.)?</w:t>
      </w:r>
    </w:p>
    <w:p w14:paraId="4A733300" w14:textId="77777777" w:rsidR="00CA15EC" w:rsidRDefault="00CA15EC" w:rsidP="00CA15EC">
      <w:pPr>
        <w:widowControl w:val="0"/>
        <w:autoSpaceDE w:val="0"/>
        <w:autoSpaceDN w:val="0"/>
        <w:adjustRightInd w:val="0"/>
        <w:rPr>
          <w:rFonts w:ascii="Times New Roman" w:hAnsi="Times New Roman" w:cs="Times New Roman"/>
          <w:sz w:val="32"/>
          <w:szCs w:val="32"/>
        </w:rPr>
      </w:pPr>
      <w:r>
        <w:rPr>
          <w:rFonts w:ascii="Arial" w:hAnsi="Arial" w:cs="Arial"/>
          <w:sz w:val="30"/>
          <w:szCs w:val="30"/>
          <w:u w:val="single"/>
        </w:rPr>
        <w:t>RISPOSTA</w:t>
      </w:r>
      <w:r>
        <w:rPr>
          <w:rFonts w:ascii="Arial" w:hAnsi="Arial" w:cs="Arial"/>
          <w:sz w:val="30"/>
          <w:szCs w:val="30"/>
        </w:rPr>
        <w:t xml:space="preserve">: </w:t>
      </w:r>
      <w:r>
        <w:rPr>
          <w:rFonts w:ascii="Arial" w:hAnsi="Arial" w:cs="Arial"/>
          <w:b/>
          <w:bCs/>
          <w:sz w:val="30"/>
          <w:szCs w:val="30"/>
        </w:rPr>
        <w:t>Incarichi relativi alla pianificazione della mobilità e del traffico (Piani Regionali dei Trasporti, Piani Urbani della Mobilità Sostenibile, Piani Urbani del Traffico, Piani del Trasporto Pubblico), possono ritenersi assimilabili al servizio oggetto della presente Indagine di mercato, qualora gli stessi contengano anche pianificazione, a vari livelli, della “mobilità elettrica”. In tale caso, la quota parte dell’incarico assimilabile, dovrà essere quantificata e autocertificata dal soggetto richiedente.</w:t>
      </w:r>
    </w:p>
    <w:p w14:paraId="40786D94" w14:textId="77777777" w:rsidR="00CA15EC" w:rsidRDefault="00CA15EC" w:rsidP="00CA15EC">
      <w:pPr>
        <w:widowControl w:val="0"/>
        <w:autoSpaceDE w:val="0"/>
        <w:autoSpaceDN w:val="0"/>
        <w:adjustRightInd w:val="0"/>
        <w:rPr>
          <w:rFonts w:ascii="Times New Roman" w:hAnsi="Times New Roman" w:cs="Times New Roman"/>
          <w:sz w:val="32"/>
          <w:szCs w:val="32"/>
        </w:rPr>
      </w:pPr>
      <w:r>
        <w:rPr>
          <w:rFonts w:ascii="Arial" w:hAnsi="Arial" w:cs="Arial"/>
          <w:sz w:val="30"/>
          <w:szCs w:val="30"/>
        </w:rPr>
        <w:t>2.</w:t>
      </w:r>
      <w:r>
        <w:rPr>
          <w:rFonts w:ascii="Times New Roman" w:hAnsi="Times New Roman" w:cs="Times New Roman"/>
          <w:sz w:val="18"/>
          <w:szCs w:val="18"/>
        </w:rPr>
        <w:t xml:space="preserve">    </w:t>
      </w:r>
      <w:r>
        <w:rPr>
          <w:rFonts w:ascii="Arial" w:hAnsi="Arial" w:cs="Arial"/>
          <w:sz w:val="30"/>
          <w:szCs w:val="30"/>
          <w:u w:val="single"/>
        </w:rPr>
        <w:t>QUESITO</w:t>
      </w:r>
      <w:r>
        <w:rPr>
          <w:rFonts w:ascii="Arial" w:hAnsi="Arial" w:cs="Arial"/>
          <w:sz w:val="30"/>
          <w:szCs w:val="30"/>
        </w:rPr>
        <w:t>: Sono ammissibili incarichi avviati nel triennio 2013-2015 e conclusi nel 2016?</w:t>
      </w:r>
    </w:p>
    <w:p w14:paraId="671093CA" w14:textId="77777777" w:rsidR="00CA15EC" w:rsidRDefault="00CA15EC" w:rsidP="00CA15EC">
      <w:pPr>
        <w:widowControl w:val="0"/>
        <w:autoSpaceDE w:val="0"/>
        <w:autoSpaceDN w:val="0"/>
        <w:adjustRightInd w:val="0"/>
        <w:rPr>
          <w:rFonts w:ascii="Times New Roman" w:hAnsi="Times New Roman" w:cs="Times New Roman"/>
          <w:sz w:val="32"/>
          <w:szCs w:val="32"/>
        </w:rPr>
      </w:pPr>
      <w:r>
        <w:rPr>
          <w:rFonts w:ascii="Arial" w:hAnsi="Arial" w:cs="Arial"/>
          <w:sz w:val="30"/>
          <w:szCs w:val="30"/>
          <w:u w:val="single"/>
        </w:rPr>
        <w:t>RISPOSTA</w:t>
      </w:r>
      <w:r>
        <w:rPr>
          <w:rFonts w:ascii="Arial" w:hAnsi="Arial" w:cs="Arial"/>
          <w:sz w:val="30"/>
          <w:szCs w:val="30"/>
        </w:rPr>
        <w:t xml:space="preserve">: </w:t>
      </w:r>
      <w:r>
        <w:rPr>
          <w:rFonts w:ascii="Arial" w:hAnsi="Arial" w:cs="Arial"/>
          <w:b/>
          <w:bCs/>
          <w:sz w:val="30"/>
          <w:szCs w:val="30"/>
        </w:rPr>
        <w:t>Saranno ritenuti ammissibili gli incarichi effettuati regolarmente nel triennio 2013-2015 e conclusi entro l’anno 2015, fatto salvo le eventuali regolarizzazioni contabili/amministrative.</w:t>
      </w:r>
    </w:p>
    <w:p w14:paraId="0202A219" w14:textId="77777777" w:rsidR="00CA15EC" w:rsidRDefault="00CA15EC" w:rsidP="00CA15EC">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14:paraId="3A115A45" w14:textId="77777777" w:rsidR="00CA15EC" w:rsidRDefault="00CA15EC" w:rsidP="00CA15EC">
      <w:pPr>
        <w:widowControl w:val="0"/>
        <w:autoSpaceDE w:val="0"/>
        <w:autoSpaceDN w:val="0"/>
        <w:adjustRightInd w:val="0"/>
        <w:rPr>
          <w:rFonts w:ascii="Times New Roman" w:hAnsi="Times New Roman" w:cs="Times New Roman"/>
          <w:sz w:val="32"/>
          <w:szCs w:val="32"/>
        </w:rPr>
      </w:pPr>
      <w:r>
        <w:rPr>
          <w:rFonts w:ascii="Arial" w:hAnsi="Arial" w:cs="Arial"/>
          <w:sz w:val="30"/>
          <w:szCs w:val="30"/>
        </w:rPr>
        <w:t>3.</w:t>
      </w:r>
      <w:r>
        <w:rPr>
          <w:rFonts w:ascii="Times New Roman" w:hAnsi="Times New Roman" w:cs="Times New Roman"/>
          <w:sz w:val="18"/>
          <w:szCs w:val="18"/>
        </w:rPr>
        <w:t xml:space="preserve">    </w:t>
      </w:r>
      <w:r>
        <w:rPr>
          <w:rFonts w:ascii="Arial" w:hAnsi="Arial" w:cs="Arial"/>
          <w:sz w:val="30"/>
          <w:szCs w:val="30"/>
          <w:u w:val="single"/>
        </w:rPr>
        <w:t>QUESITO</w:t>
      </w:r>
      <w:r>
        <w:rPr>
          <w:rFonts w:ascii="Arial" w:hAnsi="Arial" w:cs="Arial"/>
          <w:sz w:val="30"/>
          <w:szCs w:val="30"/>
        </w:rPr>
        <w:t>: Nel caso di partecipazione alla presente manifestazione di interesse come SOCIETA' SINGOLA, sarà possibile in successiva sede di gara partecipare come RTI con una impresa non invitata alla procedura?</w:t>
      </w:r>
    </w:p>
    <w:p w14:paraId="46C0E3F5" w14:textId="77777777" w:rsidR="006820C5" w:rsidRDefault="00CA15EC" w:rsidP="00CA15EC">
      <w:pPr>
        <w:rPr>
          <w:rFonts w:ascii="Arial" w:hAnsi="Arial" w:cs="Arial"/>
          <w:b/>
          <w:bCs/>
          <w:sz w:val="30"/>
          <w:szCs w:val="30"/>
        </w:rPr>
      </w:pPr>
      <w:r>
        <w:rPr>
          <w:rFonts w:ascii="Arial" w:hAnsi="Arial" w:cs="Arial"/>
          <w:sz w:val="30"/>
          <w:szCs w:val="30"/>
          <w:u w:val="single"/>
        </w:rPr>
        <w:t>RISPOSTA</w:t>
      </w:r>
      <w:r>
        <w:rPr>
          <w:rFonts w:ascii="Arial" w:hAnsi="Arial" w:cs="Arial"/>
          <w:sz w:val="30"/>
          <w:szCs w:val="30"/>
        </w:rPr>
        <w:t xml:space="preserve">: </w:t>
      </w:r>
      <w:r>
        <w:rPr>
          <w:rFonts w:ascii="Arial" w:hAnsi="Arial" w:cs="Arial"/>
          <w:b/>
          <w:bCs/>
          <w:sz w:val="30"/>
          <w:szCs w:val="30"/>
        </w:rPr>
        <w:t>Verranno invitati alla procedura successiva esclusivamente gli operatori economici selezionati con la presente indagine di mercato, nella forma giuridica con la quale hanno inviato la propria manifestazione d’interesse.</w:t>
      </w:r>
    </w:p>
    <w:p w14:paraId="70F60525" w14:textId="77777777" w:rsidR="00CA15EC" w:rsidRDefault="00CA15EC" w:rsidP="00CA15EC">
      <w:pPr>
        <w:rPr>
          <w:rFonts w:ascii="Arial" w:hAnsi="Arial" w:cs="Arial"/>
          <w:b/>
          <w:bCs/>
          <w:sz w:val="30"/>
          <w:szCs w:val="30"/>
        </w:rPr>
      </w:pPr>
    </w:p>
    <w:p w14:paraId="29303FCC" w14:textId="77777777" w:rsidR="00CA15EC" w:rsidRDefault="00CA15EC" w:rsidP="00CA15EC">
      <w:pPr>
        <w:widowControl w:val="0"/>
        <w:autoSpaceDE w:val="0"/>
        <w:autoSpaceDN w:val="0"/>
        <w:adjustRightInd w:val="0"/>
        <w:ind w:left="960" w:hanging="960"/>
        <w:rPr>
          <w:rFonts w:ascii="Times New Roman" w:hAnsi="Times New Roman" w:cs="Times New Roman"/>
          <w:sz w:val="32"/>
          <w:szCs w:val="32"/>
        </w:rPr>
      </w:pPr>
      <w:r>
        <w:rPr>
          <w:rFonts w:ascii="Arial" w:hAnsi="Arial" w:cs="Arial"/>
          <w:sz w:val="30"/>
          <w:szCs w:val="30"/>
        </w:rPr>
        <w:t>4</w:t>
      </w:r>
      <w:r>
        <w:rPr>
          <w:rFonts w:ascii="Times New Roman" w:hAnsi="Times New Roman" w:cs="Times New Roman"/>
          <w:sz w:val="18"/>
          <w:szCs w:val="18"/>
        </w:rPr>
        <w:t xml:space="preserve">      </w:t>
      </w:r>
      <w:r>
        <w:rPr>
          <w:rFonts w:ascii="Arial" w:hAnsi="Arial" w:cs="Arial"/>
          <w:sz w:val="30"/>
          <w:szCs w:val="30"/>
          <w:u w:val="single"/>
        </w:rPr>
        <w:t>QUESITO</w:t>
      </w:r>
      <w:r>
        <w:rPr>
          <w:rFonts w:ascii="Arial" w:hAnsi="Arial" w:cs="Arial"/>
          <w:sz w:val="30"/>
          <w:szCs w:val="30"/>
        </w:rPr>
        <w:t xml:space="preserve">: Nel caso di </w:t>
      </w:r>
      <w:proofErr w:type="gramStart"/>
      <w:r>
        <w:rPr>
          <w:rFonts w:ascii="Arial" w:hAnsi="Arial" w:cs="Arial"/>
          <w:sz w:val="30"/>
          <w:szCs w:val="30"/>
        </w:rPr>
        <w:t>partecipazione  a</w:t>
      </w:r>
      <w:proofErr w:type="gramEnd"/>
      <w:r>
        <w:rPr>
          <w:rFonts w:ascii="Arial" w:hAnsi="Arial" w:cs="Arial"/>
          <w:sz w:val="30"/>
          <w:szCs w:val="30"/>
        </w:rPr>
        <w:t xml:space="preserve"> questa indagine di mercato, è possibile poi partecipare alla successiva procedura di appalto per la fornitura delle infrastrutture di ricarica ?</w:t>
      </w:r>
    </w:p>
    <w:p w14:paraId="3B0C498E" w14:textId="77777777" w:rsidR="00CA15EC" w:rsidRPr="00CA15EC" w:rsidRDefault="00CA15EC" w:rsidP="00CA15EC">
      <w:r>
        <w:rPr>
          <w:rFonts w:ascii="Arial" w:hAnsi="Arial" w:cs="Arial"/>
          <w:sz w:val="30"/>
          <w:szCs w:val="30"/>
          <w:u w:val="single"/>
        </w:rPr>
        <w:t>RISPOSTA</w:t>
      </w:r>
      <w:r>
        <w:rPr>
          <w:rFonts w:ascii="Arial" w:hAnsi="Arial" w:cs="Arial"/>
          <w:sz w:val="30"/>
          <w:szCs w:val="30"/>
        </w:rPr>
        <w:t xml:space="preserve">: </w:t>
      </w:r>
      <w:r>
        <w:rPr>
          <w:rFonts w:ascii="Arial" w:hAnsi="Arial" w:cs="Arial"/>
          <w:b/>
          <w:bCs/>
          <w:sz w:val="30"/>
          <w:szCs w:val="30"/>
        </w:rPr>
        <w:t xml:space="preserve">Soltanto l’operatore economico che risulterà </w:t>
      </w:r>
      <w:r>
        <w:rPr>
          <w:rFonts w:ascii="Arial" w:hAnsi="Arial" w:cs="Arial"/>
          <w:b/>
          <w:bCs/>
          <w:sz w:val="30"/>
          <w:szCs w:val="30"/>
          <w:u w:val="single"/>
        </w:rPr>
        <w:t xml:space="preserve">aggiudicatario </w:t>
      </w:r>
      <w:proofErr w:type="gramStart"/>
      <w:r>
        <w:rPr>
          <w:rFonts w:ascii="Arial" w:hAnsi="Arial" w:cs="Arial"/>
          <w:b/>
          <w:bCs/>
          <w:sz w:val="30"/>
          <w:szCs w:val="30"/>
          <w:u w:val="single"/>
        </w:rPr>
        <w:t>del servizi</w:t>
      </w:r>
      <w:proofErr w:type="gramEnd"/>
      <w:r>
        <w:rPr>
          <w:rFonts w:ascii="Arial" w:hAnsi="Arial" w:cs="Arial"/>
          <w:b/>
          <w:bCs/>
          <w:sz w:val="30"/>
          <w:szCs w:val="30"/>
          <w:u w:val="single"/>
        </w:rPr>
        <w:t xml:space="preserve"> in oggetto </w:t>
      </w:r>
      <w:r>
        <w:rPr>
          <w:rFonts w:ascii="Arial" w:hAnsi="Arial" w:cs="Arial"/>
          <w:b/>
          <w:bCs/>
          <w:i/>
          <w:iCs/>
          <w:sz w:val="30"/>
          <w:szCs w:val="30"/>
        </w:rPr>
        <w:t>(supporto alla redazione delle linee Guida del Piano della Mobilità Elettrica Regionale e predisposizione bando di gara per fornitura e installazione delle infrastrutture di ricarica)</w:t>
      </w:r>
      <w:r>
        <w:rPr>
          <w:rFonts w:ascii="Arial" w:hAnsi="Arial" w:cs="Arial"/>
          <w:b/>
          <w:bCs/>
          <w:sz w:val="30"/>
          <w:szCs w:val="30"/>
        </w:rPr>
        <w:t>, non potrà partecipare in alcuna forma – diretta o indiretta – alla successiva procedura di appalto relativa alla “fornitura, posa in opera, gestione e manutenzione delle infrastrutture di ricarica"</w:t>
      </w:r>
      <w:bookmarkStart w:id="0" w:name="_GoBack"/>
      <w:bookmarkEnd w:id="0"/>
    </w:p>
    <w:sectPr w:rsidR="00CA15EC" w:rsidRPr="00CA15EC" w:rsidSect="002A222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EC"/>
    <w:rsid w:val="002A222A"/>
    <w:rsid w:val="006820C5"/>
    <w:rsid w:val="00CA15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D08E7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1913</Characters>
  <Application>Microsoft Macintosh Word</Application>
  <DocSecurity>0</DocSecurity>
  <Lines>15</Lines>
  <Paragraphs>4</Paragraphs>
  <ScaleCrop>false</ScaleCrop>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2016-08-01T09:02:00Z</dcterms:created>
  <dcterms:modified xsi:type="dcterms:W3CDTF">2016-08-01T09:03:00Z</dcterms:modified>
</cp:coreProperties>
</file>